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E1" w:rsidRDefault="00AE20E1" w:rsidP="00AE20E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D8E3B73" wp14:editId="648B843D">
            <wp:simplePos x="0" y="0"/>
            <wp:positionH relativeFrom="leftMargin">
              <wp:align>right</wp:align>
            </wp:positionH>
            <wp:positionV relativeFrom="paragraph">
              <wp:posOffset>-590550</wp:posOffset>
            </wp:positionV>
            <wp:extent cx="552450" cy="581025"/>
            <wp:effectExtent l="0" t="0" r="0" b="9525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SUPERINTENDENCIA DE SEGUROS DE LA REPÚBLICA DOMINICANA PRIMAS NETAS COBRADAS DE FEBRERO DEL 2021</w:t>
      </w:r>
    </w:p>
    <w:p w:rsidR="00AE20E1" w:rsidRDefault="00AE20E1" w:rsidP="00AE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20E1" w:rsidRPr="00904DEB" w:rsidRDefault="00AE20E1" w:rsidP="00AE2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>
        <w:rPr>
          <w:rFonts w:ascii="Times New Roman" w:hAnsi="Times New Roman" w:cs="Times New Roman"/>
          <w:sz w:val="24"/>
          <w:szCs w:val="24"/>
          <w:lang w:val="es-ES"/>
        </w:rPr>
        <w:t>Cobradas (PNC) totalizaron en febrero del 2021 un monto de RD</w:t>
      </w:r>
      <w:r w:rsidRPr="00AA683B">
        <w:rPr>
          <w:rFonts w:ascii="Times New Roman" w:hAnsi="Times New Roman" w:cs="Times New Roman"/>
          <w:sz w:val="24"/>
          <w:szCs w:val="24"/>
          <w:lang w:val="es-ES"/>
        </w:rPr>
        <w:t>$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4DEB" w:rsidRPr="00904DEB">
        <w:rPr>
          <w:rFonts w:ascii="Times New Roman" w:hAnsi="Times New Roman" w:cs="Times New Roman"/>
          <w:sz w:val="24"/>
          <w:szCs w:val="24"/>
          <w:lang w:val="es-DO"/>
        </w:rPr>
        <w:t xml:space="preserve">        6,949</w:t>
      </w:r>
      <w:r w:rsidR="00B82DD2">
        <w:rPr>
          <w:rFonts w:ascii="Times New Roman" w:hAnsi="Times New Roman" w:cs="Times New Roman"/>
          <w:sz w:val="24"/>
          <w:szCs w:val="24"/>
          <w:lang w:val="es-DO"/>
        </w:rPr>
        <w:t>.0 millones</w:t>
      </w:r>
      <w:r w:rsidR="004F75A1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04DE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representando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un</w:t>
      </w:r>
      <w:r>
        <w:rPr>
          <w:rFonts w:ascii="Times New Roman" w:hAnsi="Times New Roman" w:cs="Times New Roman"/>
          <w:sz w:val="24"/>
          <w:szCs w:val="24"/>
          <w:lang w:val="es-ES"/>
        </w:rPr>
        <w:t>a variación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de RD</w:t>
      </w:r>
      <w:r w:rsidRPr="00510311">
        <w:rPr>
          <w:rFonts w:ascii="Times New Roman" w:hAnsi="Times New Roman" w:cs="Times New Roman"/>
          <w:sz w:val="24"/>
          <w:szCs w:val="24"/>
          <w:lang w:val="es-ES"/>
        </w:rPr>
        <w:t>$</w:t>
      </w:r>
      <w:r w:rsidR="00904DEB" w:rsidRPr="00904DEB">
        <w:rPr>
          <w:rFonts w:ascii="Times New Roman" w:hAnsi="Times New Roman" w:cs="Times New Roman"/>
          <w:sz w:val="24"/>
          <w:szCs w:val="24"/>
          <w:lang w:val="es-DO"/>
        </w:rPr>
        <w:t xml:space="preserve"> 930</w:t>
      </w:r>
      <w:r w:rsidR="00B82DD2">
        <w:rPr>
          <w:rFonts w:ascii="Times New Roman" w:hAnsi="Times New Roman" w:cs="Times New Roman"/>
          <w:sz w:val="24"/>
          <w:szCs w:val="24"/>
          <w:lang w:val="es-DO"/>
        </w:rPr>
        <w:t>.1 millones</w:t>
      </w:r>
      <w:r w:rsidR="00904DEB" w:rsidRPr="00904DE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904DEB">
        <w:rPr>
          <w:rFonts w:ascii="Times New Roman" w:hAnsi="Times New Roman" w:cs="Times New Roman"/>
          <w:sz w:val="24"/>
          <w:szCs w:val="24"/>
          <w:lang w:val="es-ES"/>
        </w:rPr>
        <w:t>15.5%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respecto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anterior).</w:t>
      </w:r>
    </w:p>
    <w:p w:rsidR="00F446BC" w:rsidRDefault="00F446BC" w:rsidP="0050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</w:p>
    <w:p w:rsidR="0050327B" w:rsidRPr="0050327B" w:rsidRDefault="00AE20E1" w:rsidP="0050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Cabe destacar </w:t>
      </w:r>
      <w:proofErr w:type="gramStart"/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que</w:t>
      </w:r>
      <w:proofErr w:type="gramEnd"/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para el mes de </w:t>
      </w:r>
      <w:r w:rsidR="00904DE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febrero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de 2021 en comparación al mismo </w:t>
      </w:r>
      <w:r w:rsidR="003F1147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período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del año 2020, los ramos que reflejaron un mayor crecimiento relativo fueron: </w:t>
      </w:r>
      <w:r w:rsidR="00904DE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Accidentes Personales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(</w:t>
      </w:r>
      <w:r w:rsidR="00904DE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115.1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%) y </w:t>
      </w:r>
      <w:r w:rsidR="0050327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Agrícola y Pecuario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(</w:t>
      </w:r>
      <w:r w:rsidR="0050327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51.4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%). </w:t>
      </w:r>
      <w:r w:rsidR="0050327B" w:rsidRPr="0050327B">
        <w:rPr>
          <w:rFonts w:ascii="Times New Roman" w:hAnsi="Times New Roman" w:cs="Times New Roman"/>
          <w:bCs/>
          <w:sz w:val="24"/>
          <w:szCs w:val="24"/>
          <w:lang w:val="es-DO"/>
        </w:rPr>
        <w:t>En sentido contrario</w:t>
      </w:r>
      <w:r w:rsidR="0050327B">
        <w:rPr>
          <w:rFonts w:ascii="Times New Roman" w:hAnsi="Times New Roman" w:cs="Times New Roman"/>
          <w:bCs/>
          <w:sz w:val="24"/>
          <w:szCs w:val="24"/>
          <w:lang w:val="es-DO"/>
        </w:rPr>
        <w:t>,</w:t>
      </w:r>
      <w:r w:rsidR="0050327B" w:rsidRPr="0050327B">
        <w:rPr>
          <w:rFonts w:ascii="Times New Roman" w:hAnsi="Times New Roman" w:cs="Times New Roman"/>
          <w:bCs/>
          <w:sz w:val="24"/>
          <w:szCs w:val="24"/>
          <w:lang w:val="es-DO"/>
        </w:rPr>
        <w:t xml:space="preserve"> los ramos que mostraron un decrecimiento </w:t>
      </w:r>
      <w:r w:rsidR="0050327B">
        <w:rPr>
          <w:rFonts w:ascii="Times New Roman" w:hAnsi="Times New Roman" w:cs="Times New Roman"/>
          <w:bCs/>
          <w:sz w:val="24"/>
          <w:szCs w:val="24"/>
          <w:lang w:val="es-DO"/>
        </w:rPr>
        <w:t xml:space="preserve">relativo </w:t>
      </w:r>
      <w:r w:rsidR="0050327B" w:rsidRPr="0050327B">
        <w:rPr>
          <w:rFonts w:ascii="Times New Roman" w:hAnsi="Times New Roman" w:cs="Times New Roman"/>
          <w:bCs/>
          <w:sz w:val="24"/>
          <w:szCs w:val="24"/>
          <w:lang w:val="es-DO"/>
        </w:rPr>
        <w:t>fueron: Naves Marítimas y Aéreas (</w:t>
      </w:r>
      <w:r w:rsidR="0050327B">
        <w:rPr>
          <w:rFonts w:ascii="Times New Roman" w:hAnsi="Times New Roman" w:cs="Times New Roman"/>
          <w:bCs/>
          <w:sz w:val="24"/>
          <w:szCs w:val="24"/>
          <w:lang w:val="es-DO"/>
        </w:rPr>
        <w:t>-</w:t>
      </w:r>
      <w:r w:rsidR="0050327B" w:rsidRPr="0050327B">
        <w:rPr>
          <w:rFonts w:ascii="Times New Roman" w:hAnsi="Times New Roman" w:cs="Times New Roman"/>
          <w:bCs/>
          <w:sz w:val="24"/>
          <w:szCs w:val="24"/>
          <w:lang w:val="es-DO"/>
        </w:rPr>
        <w:t>53.1%)</w:t>
      </w:r>
      <w:r w:rsidR="0050327B">
        <w:rPr>
          <w:rFonts w:ascii="Times New Roman" w:hAnsi="Times New Roman" w:cs="Times New Roman"/>
          <w:bCs/>
          <w:sz w:val="24"/>
          <w:szCs w:val="24"/>
          <w:lang w:val="es-DO"/>
        </w:rPr>
        <w:t xml:space="preserve"> y </w:t>
      </w:r>
      <w:r w:rsidR="0050327B" w:rsidRPr="0050327B">
        <w:rPr>
          <w:rFonts w:ascii="Times New Roman" w:hAnsi="Times New Roman" w:cs="Times New Roman"/>
          <w:bCs/>
          <w:sz w:val="24"/>
          <w:szCs w:val="24"/>
          <w:lang w:val="es-DO"/>
        </w:rPr>
        <w:t>Transporte de Carga</w:t>
      </w:r>
      <w:r w:rsidR="0050327B">
        <w:rPr>
          <w:rFonts w:ascii="Times New Roman" w:hAnsi="Times New Roman" w:cs="Times New Roman"/>
          <w:bCs/>
          <w:sz w:val="24"/>
          <w:szCs w:val="24"/>
          <w:lang w:val="es-DO"/>
        </w:rPr>
        <w:t xml:space="preserve"> (-21.2%).</w:t>
      </w:r>
      <w:r w:rsidR="0050327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En ese </w:t>
      </w:r>
      <w:r w:rsidR="0050122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contexto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, los ramos de mayor representatividad en el total de 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P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rimas 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N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etas 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C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obradas fueron: Incendios y Aliados (2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8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.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0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,</w:t>
      </w:r>
      <w:r w:rsidR="0050327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Salud (2</w:t>
      </w:r>
      <w:r w:rsidR="0050122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3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.0</w:t>
      </w:r>
      <w:r w:rsidR="0050327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</w:t>
      </w:r>
      <w:r w:rsid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y </w:t>
      </w:r>
      <w:r w:rsidR="0050327B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Vehículos de Motor (21.9%).</w:t>
      </w:r>
    </w:p>
    <w:p w:rsidR="00AE20E1" w:rsidRPr="0050327B" w:rsidRDefault="00AE20E1" w:rsidP="00AE20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DO"/>
        </w:rPr>
      </w:pPr>
    </w:p>
    <w:p w:rsidR="00AE20E1" w:rsidRPr="00B82DD2" w:rsidRDefault="00AE20E1" w:rsidP="00AE20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</w:pP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Las Primas Netas Cobradas No Exoneradas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totalizaron</w:t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un monto de RD$</w:t>
      </w:r>
      <w:r w:rsidRPr="001D7382">
        <w:rPr>
          <w:rFonts w:ascii="Arial" w:hAnsi="Arial" w:cs="Arial"/>
          <w:b/>
          <w:bCs/>
          <w:sz w:val="20"/>
          <w:szCs w:val="20"/>
          <w:lang w:val="es-DO"/>
        </w:rPr>
        <w:t xml:space="preserve"> </w:t>
      </w:r>
      <w:r w:rsidR="003F1147" w:rsidRPr="003F1147">
        <w:rPr>
          <w:rFonts w:ascii="Times New Roman" w:hAnsi="Times New Roman" w:cs="Times New Roman"/>
          <w:bCs/>
          <w:sz w:val="24"/>
          <w:szCs w:val="24"/>
          <w:lang w:val="es-DO"/>
        </w:rPr>
        <w:t>4,255</w:t>
      </w:r>
      <w:r w:rsidR="00B82DD2">
        <w:rPr>
          <w:rFonts w:ascii="Times New Roman" w:hAnsi="Times New Roman" w:cs="Times New Roman"/>
          <w:bCs/>
          <w:sz w:val="24"/>
          <w:szCs w:val="24"/>
          <w:lang w:val="es-DO"/>
        </w:rPr>
        <w:t>.6 millones</w:t>
      </w:r>
      <w:r w:rsidR="003F1147">
        <w:rPr>
          <w:rFonts w:ascii="Arial" w:hAnsi="Arial" w:cs="Arial"/>
          <w:b/>
          <w:bCs/>
          <w:sz w:val="20"/>
          <w:szCs w:val="20"/>
          <w:lang w:val="es-DO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representando un </w:t>
      </w:r>
      <w:r w:rsid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(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6</w:t>
      </w:r>
      <w:r w:rsid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</w:t>
      </w:r>
      <w:r w:rsid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2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</w:t>
      </w:r>
      <w:r w:rsid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)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del total de Primas Netas Cobradas en el mes de </w:t>
      </w:r>
      <w:r w:rsid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febrero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de 2021.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M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ientras que las Primas Exoneradas de impuestos fueron de RD</w:t>
      </w:r>
      <w:r w:rsidRP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$ </w:t>
      </w:r>
      <w:r w:rsidR="003F1147" w:rsidRP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2,693</w:t>
      </w:r>
      <w:r w:rsidR="00B82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.4 millones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para una participación </w:t>
      </w:r>
      <w:r w:rsidR="003F1147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(38.8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%</w:t>
      </w:r>
      <w:r w:rsidR="003F1147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 del total de Primas Netas Cobradas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. Los ramos con mayor participación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en el total 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Primas Netas Cobradas Exoneradas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fueron:</w:t>
      </w:r>
      <w:r w:rsidR="000E2B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  <w:r w:rsidR="004101C8">
        <w:rPr>
          <w:rFonts w:ascii="Times New Roman" w:hAnsi="Times New Roman" w:cs="Times New Roman"/>
          <w:sz w:val="24"/>
          <w:szCs w:val="24"/>
          <w:lang w:val="es-DO"/>
        </w:rPr>
        <w:t>Salud (</w:t>
      </w:r>
      <w:r w:rsidR="000E2B6E">
        <w:rPr>
          <w:rFonts w:ascii="Times New Roman" w:hAnsi="Times New Roman" w:cs="Times New Roman"/>
          <w:sz w:val="24"/>
          <w:szCs w:val="24"/>
          <w:lang w:val="es-DO"/>
        </w:rPr>
        <w:t>59.3</w:t>
      </w:r>
      <w:r w:rsidR="004101C8">
        <w:rPr>
          <w:rFonts w:ascii="Times New Roman" w:hAnsi="Times New Roman" w:cs="Times New Roman"/>
          <w:sz w:val="24"/>
          <w:szCs w:val="24"/>
          <w:lang w:val="es-DO"/>
        </w:rPr>
        <w:t>%)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2B6E">
        <w:rPr>
          <w:rFonts w:ascii="Times New Roman" w:hAnsi="Times New Roman" w:cs="Times New Roman"/>
          <w:sz w:val="24"/>
          <w:szCs w:val="24"/>
          <w:lang w:val="es-ES"/>
        </w:rPr>
        <w:t xml:space="preserve">y Vida Colectivo (27.0%)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aporte a este total de </w:t>
      </w:r>
      <w:r w:rsidR="003F1147">
        <w:rPr>
          <w:rFonts w:ascii="Times New Roman" w:hAnsi="Times New Roman" w:cs="Times New Roman"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rimas </w:t>
      </w:r>
      <w:r w:rsidR="003F1147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xoneradas de impuesto</w:t>
      </w:r>
      <w:r w:rsidR="003F1147">
        <w:rPr>
          <w:rFonts w:ascii="Times New Roman" w:hAnsi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cs="Times New Roman"/>
          <w:sz w:val="24"/>
          <w:szCs w:val="24"/>
          <w:lang w:val="es-ES"/>
        </w:rPr>
        <w:t>, respectivamente.</w:t>
      </w:r>
    </w:p>
    <w:p w:rsidR="00AE20E1" w:rsidRDefault="00AE20E1" w:rsidP="00AE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AE20E1" w:rsidRDefault="00AE20E1" w:rsidP="00AE20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AE20E1" w:rsidRPr="005E2626" w:rsidRDefault="00AE20E1" w:rsidP="00AE20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AE20E1" w:rsidRDefault="00AE20E1" w:rsidP="00AE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representan el </w:t>
      </w:r>
      <w:r w:rsidR="000E2B6E">
        <w:rPr>
          <w:rFonts w:ascii="Times New Roman" w:hAnsi="Times New Roman" w:cs="Times New Roman"/>
          <w:sz w:val="24"/>
          <w:szCs w:val="24"/>
          <w:lang w:val="es-ES"/>
        </w:rPr>
        <w:t>89.7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 del total de las </w:t>
      </w:r>
      <w:r w:rsidR="000E2B6E">
        <w:rPr>
          <w:rFonts w:ascii="Times New Roman" w:hAnsi="Times New Roman" w:cs="Times New Roman"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rimas </w:t>
      </w:r>
      <w:r w:rsidR="000E2B6E">
        <w:rPr>
          <w:rFonts w:ascii="Times New Roman" w:hAnsi="Times New Roman" w:cs="Times New Roman"/>
          <w:sz w:val="24"/>
          <w:szCs w:val="24"/>
          <w:lang w:val="es-ES"/>
        </w:rPr>
        <w:t>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etas </w:t>
      </w:r>
      <w:r w:rsidR="000E2B6E">
        <w:rPr>
          <w:rFonts w:ascii="Times New Roman" w:hAnsi="Times New Roman" w:cs="Times New Roman"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obradas del sector asegurador dominicano del mes de </w:t>
      </w:r>
      <w:r w:rsidR="000E2B6E">
        <w:rPr>
          <w:rFonts w:ascii="Times New Roman" w:hAnsi="Times New Roman" w:cs="Times New Roman"/>
          <w:sz w:val="24"/>
          <w:szCs w:val="24"/>
          <w:lang w:val="es-ES"/>
        </w:rPr>
        <w:t>febrero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2021:</w:t>
      </w:r>
    </w:p>
    <w:p w:rsidR="00AE20E1" w:rsidRDefault="00AE20E1" w:rsidP="00AE2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E20E1" w:rsidRDefault="00AE20E1" w:rsidP="00F446B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Las 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"/>
        </w:rPr>
        <w:t>0 compañías más importantes del mes de enero de 2021.</w:t>
      </w:r>
    </w:p>
    <w:tbl>
      <w:tblPr>
        <w:tblW w:w="9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491"/>
        <w:gridCol w:w="2546"/>
        <w:gridCol w:w="511"/>
        <w:gridCol w:w="2651"/>
      </w:tblGrid>
      <w:tr w:rsidR="00F14DE2" w:rsidTr="00F446BC">
        <w:trPr>
          <w:trHeight w:val="301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DE2" w:rsidRDefault="00F14D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  <w:proofErr w:type="spellEnd"/>
          </w:p>
        </w:tc>
        <w:tc>
          <w:tcPr>
            <w:tcW w:w="6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  <w:proofErr w:type="spellEnd"/>
          </w:p>
        </w:tc>
      </w:tr>
      <w:tr w:rsidR="00F14DE2" w:rsidTr="00F446BC">
        <w:trPr>
          <w:trHeight w:val="175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2" w:rsidRDefault="00F14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Universal,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3,331,181,329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2,497,979,813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1,831,418,912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1,940,804,153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Reservas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1,931,543,219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1,930,681,316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Pr="00F14DE2" w:rsidRDefault="00F14DE2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F14DE2">
              <w:rPr>
                <w:rFonts w:ascii="Arial" w:hAnsi="Arial" w:cs="Arial"/>
                <w:sz w:val="20"/>
                <w:szCs w:val="20"/>
                <w:lang w:val="es-DO"/>
              </w:rPr>
              <w:t xml:space="preserve">MAPFRE BHD </w:t>
            </w:r>
            <w:proofErr w:type="spellStart"/>
            <w:r w:rsidRPr="00F14DE2">
              <w:rPr>
                <w:rFonts w:ascii="Arial" w:hAnsi="Arial" w:cs="Arial"/>
                <w:sz w:val="20"/>
                <w:szCs w:val="20"/>
                <w:lang w:val="es-DO"/>
              </w:rPr>
              <w:t>Cía</w:t>
            </w:r>
            <w:proofErr w:type="spellEnd"/>
            <w:r w:rsidRPr="00F14DE2">
              <w:rPr>
                <w:rFonts w:ascii="Arial" w:hAnsi="Arial" w:cs="Arial"/>
                <w:sz w:val="20"/>
                <w:szCs w:val="20"/>
                <w:lang w:val="es-DO"/>
              </w:rPr>
              <w:t xml:space="preserve"> de Seguros,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1,258,298,057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1,258,764,368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Pr="00F14DE2" w:rsidRDefault="00F14DE2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F14DE2">
              <w:rPr>
                <w:rFonts w:ascii="Arial" w:hAnsi="Arial" w:cs="Arial"/>
                <w:sz w:val="20"/>
                <w:szCs w:val="20"/>
                <w:lang w:val="es-DO"/>
              </w:rPr>
              <w:t>La Colonial de Seguros,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786,884,133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918,421,956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859,912,961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905,996,420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Crecer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248,969,964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658,609,455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Worldwide,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398,425,435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432,482,724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Pr="00F14DE2" w:rsidRDefault="00F14DE2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F14DE2">
              <w:rPr>
                <w:rFonts w:ascii="Arial" w:hAnsi="Arial" w:cs="Arial"/>
                <w:sz w:val="20"/>
                <w:szCs w:val="20"/>
                <w:lang w:val="es-DO"/>
              </w:rPr>
              <w:t>General de Seguros,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259,343,260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260,202,051</w:t>
            </w:r>
          </w:p>
        </w:tc>
      </w:tr>
      <w:tr w:rsidR="00F14DE2" w:rsidTr="00F446BC">
        <w:trPr>
          <w:trHeight w:val="2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Pepin, S. A.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193,153,689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E2" w:rsidRDefault="00F1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215,733,184</w:t>
            </w:r>
          </w:p>
        </w:tc>
      </w:tr>
    </w:tbl>
    <w:p w:rsidR="00AD08F8" w:rsidRDefault="00AE20E1" w:rsidP="00AE20E1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val="es-ES" w:eastAsia="es-DO"/>
        </w:rPr>
      </w:pPr>
      <w:r>
        <w:rPr>
          <w:rFonts w:ascii="Arial" w:eastAsia="Times New Roman" w:hAnsi="Arial" w:cs="Arial"/>
          <w:sz w:val="14"/>
          <w:szCs w:val="14"/>
          <w:lang w:val="es-ES" w:eastAsia="es-DO"/>
        </w:rPr>
        <w:t xml:space="preserve">          </w:t>
      </w:r>
      <w:bookmarkStart w:id="1" w:name="_Hlk63074929"/>
    </w:p>
    <w:p w:rsidR="00AE20E1" w:rsidRPr="00D07C3C" w:rsidRDefault="00AE20E1" w:rsidP="00AE20E1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val="es-ES" w:eastAsia="es-DO"/>
        </w:rPr>
      </w:pPr>
      <w:r w:rsidRPr="00E625BB">
        <w:rPr>
          <w:rFonts w:ascii="Arial" w:eastAsia="Times New Roman" w:hAnsi="Arial" w:cs="Arial"/>
          <w:sz w:val="14"/>
          <w:szCs w:val="14"/>
          <w:lang w:val="es-DO" w:eastAsia="es-DO"/>
        </w:rPr>
        <w:t xml:space="preserve">Fuente: Superintendencia de Seguros, </w:t>
      </w:r>
      <w:r>
        <w:rPr>
          <w:rFonts w:ascii="Arial" w:eastAsia="Times New Roman" w:hAnsi="Arial" w:cs="Arial"/>
          <w:sz w:val="14"/>
          <w:szCs w:val="14"/>
          <w:lang w:val="es-DO" w:eastAsia="es-DO"/>
        </w:rPr>
        <w:t>Dirección</w:t>
      </w:r>
      <w:r w:rsidRPr="00E625BB">
        <w:rPr>
          <w:rFonts w:ascii="Arial" w:eastAsia="Times New Roman" w:hAnsi="Arial" w:cs="Arial"/>
          <w:sz w:val="14"/>
          <w:szCs w:val="14"/>
          <w:lang w:val="es-DO" w:eastAsia="es-DO"/>
        </w:rPr>
        <w:t xml:space="preserve"> de Análisis Financiero y Estadísticas</w:t>
      </w:r>
      <w:bookmarkEnd w:id="1"/>
      <w:r>
        <w:rPr>
          <w:rFonts w:ascii="Arial" w:eastAsia="Times New Roman" w:hAnsi="Arial" w:cs="Arial"/>
          <w:sz w:val="14"/>
          <w:szCs w:val="14"/>
          <w:lang w:val="es-DO" w:eastAsia="es-DO"/>
        </w:rPr>
        <w:t>.</w:t>
      </w:r>
    </w:p>
    <w:p w:rsidR="00AE20E1" w:rsidRDefault="00AE20E1" w:rsidP="00AE2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A7D41" w:rsidRDefault="003A7D41" w:rsidP="003A7D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</w:pPr>
      <w:r w:rsidRPr="003A7D41">
        <w:rPr>
          <w:rFonts w:ascii="Times New Roman" w:hAnsi="Times New Roman" w:cs="Times New Roman"/>
          <w:sz w:val="24"/>
          <w:szCs w:val="24"/>
          <w:lang w:val="es-ES"/>
        </w:rPr>
        <w:t xml:space="preserve">Durante este mes, las aseguradoras que mostraron un mayor crecimiento respecto al mismo período del año anterior fueron: </w:t>
      </w:r>
      <w:r w:rsidRPr="003A7D41">
        <w:rPr>
          <w:rFonts w:ascii="Times New Roman" w:hAnsi="Times New Roman" w:cs="Times New Roman"/>
          <w:b/>
          <w:sz w:val="24"/>
          <w:szCs w:val="24"/>
          <w:lang w:val="es-ES"/>
        </w:rPr>
        <w:t>Unit, S. A.</w:t>
      </w:r>
      <w:r w:rsidRPr="003A7D41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ES"/>
        </w:rPr>
        <w:t>985.3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%), </w:t>
      </w:r>
      <w:proofErr w:type="spellStart"/>
      <w:r w:rsidRPr="003A7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Pr="003A7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 Seguros, S.A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891.0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 y</w:t>
      </w:r>
      <w:r w:rsidRPr="003A7D41">
        <w:rPr>
          <w:lang w:val="es-DO"/>
        </w:rPr>
        <w:t xml:space="preserve"> </w:t>
      </w:r>
      <w:r w:rsidRPr="003A7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Seguros Crecer, S. A.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32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5.6%). </w:t>
      </w:r>
    </w:p>
    <w:p w:rsidR="003D49EB" w:rsidRDefault="003D49EB" w:rsidP="003A7D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</w:pPr>
    </w:p>
    <w:p w:rsidR="004A41A3" w:rsidRDefault="00623AB7" w:rsidP="00623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            </w:t>
      </w:r>
      <w:r w:rsidR="004A41A3"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FEBRERO 2021</w:t>
      </w:r>
    </w:p>
    <w:p w:rsidR="003D49EB" w:rsidRDefault="003D49EB" w:rsidP="00623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4A41A3" w:rsidRDefault="004A41A3" w:rsidP="004A4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De forma acumulada, las Primas Netas Cobradas al mes de 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>febrero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asciende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 RD$ </w:t>
      </w:r>
      <w:r w:rsidR="00AF1EFB" w:rsidRPr="00AF1EFB"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12,481</w:t>
      </w:r>
      <w:r w:rsidR="00B82DD2">
        <w:rPr>
          <w:rFonts w:ascii="Times New Roman" w:hAnsi="Times New Roman" w:cs="Times New Roman"/>
          <w:sz w:val="24"/>
          <w:szCs w:val="24"/>
          <w:lang w:val="es-DO"/>
        </w:rPr>
        <w:t>.0 millones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,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lo que representa un crecimiento en término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absoluto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de RD$</w:t>
      </w:r>
      <w:r w:rsidRPr="007E4FE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F1EFB" w:rsidRPr="00AF1EFB"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86</w:t>
      </w:r>
      <w:r w:rsidR="00B82DD2">
        <w:rPr>
          <w:rFonts w:ascii="Times New Roman" w:hAnsi="Times New Roman" w:cs="Times New Roman"/>
          <w:sz w:val="24"/>
          <w:szCs w:val="24"/>
          <w:lang w:val="es-DO"/>
        </w:rPr>
        <w:t>.8 millones</w:t>
      </w:r>
      <w:r w:rsidR="00AF1EFB" w:rsidRPr="00AF1EF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respecto al mismo período del año anterior. Los ramos de mayor variación en relación al año </w:t>
      </w:r>
      <w:r>
        <w:rPr>
          <w:rFonts w:ascii="Times New Roman" w:hAnsi="Times New Roman" w:cs="Times New Roman"/>
          <w:sz w:val="24"/>
          <w:szCs w:val="24"/>
          <w:lang w:val="es-ES"/>
        </w:rPr>
        <w:t>anterior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fueron: 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>58.8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%), 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>Accidente</w:t>
      </w:r>
      <w:r w:rsidR="00B82DD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 xml:space="preserve"> Personales (35.8%) y Vida Colectivo (15.1%)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. Por otro lado, los ramos de mayor aporte al total de Primas Netas Cobradas fueron: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Incendio y Aliados (</w:t>
      </w:r>
      <w:r>
        <w:rPr>
          <w:rFonts w:ascii="Times New Roman" w:hAnsi="Times New Roman" w:cs="Times New Roman"/>
          <w:sz w:val="24"/>
          <w:szCs w:val="24"/>
          <w:lang w:val="es-ES"/>
        </w:rPr>
        <w:t>25.</w:t>
      </w:r>
      <w:r w:rsidR="00AF1EF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F32E5C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32E5C">
        <w:rPr>
          <w:rFonts w:ascii="Times New Roman" w:hAnsi="Times New Roman" w:cs="Times New Roman"/>
          <w:sz w:val="24"/>
          <w:szCs w:val="24"/>
          <w:lang w:val="es-ES"/>
        </w:rPr>
        <w:t xml:space="preserve">Salud (24.5%) </w:t>
      </w:r>
      <w:r>
        <w:rPr>
          <w:rFonts w:ascii="Times New Roman" w:hAnsi="Times New Roman" w:cs="Times New Roman"/>
          <w:sz w:val="24"/>
          <w:szCs w:val="24"/>
          <w:lang w:val="es-ES"/>
        </w:rPr>
        <w:t>y Vehículos de Motor (2</w:t>
      </w:r>
      <w:r w:rsidR="00F32E5C">
        <w:rPr>
          <w:rFonts w:ascii="Times New Roman" w:hAnsi="Times New Roman" w:cs="Times New Roman"/>
          <w:sz w:val="24"/>
          <w:szCs w:val="24"/>
          <w:lang w:val="es-ES"/>
        </w:rPr>
        <w:t>3.4</w:t>
      </w:r>
      <w:r>
        <w:rPr>
          <w:rFonts w:ascii="Times New Roman" w:hAnsi="Times New Roman" w:cs="Times New Roman"/>
          <w:sz w:val="24"/>
          <w:szCs w:val="24"/>
          <w:lang w:val="es-ES"/>
        </w:rPr>
        <w:t>%).</w:t>
      </w:r>
    </w:p>
    <w:p w:rsidR="00C332F7" w:rsidRPr="00F446BC" w:rsidRDefault="00FC6F5B" w:rsidP="00F446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Las aseguradoras que mostraron un crecimiento sobresaliente en sus Primas Netas Cobradas </w:t>
      </w:r>
      <w:r>
        <w:rPr>
          <w:rFonts w:ascii="Times New Roman" w:hAnsi="Times New Roman" w:cs="Times New Roman"/>
          <w:sz w:val="24"/>
          <w:szCs w:val="24"/>
          <w:lang w:val="es-ES"/>
        </w:rPr>
        <w:t>al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mes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febrero 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>de 202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con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23AB7">
        <w:rPr>
          <w:rFonts w:ascii="Times New Roman" w:hAnsi="Times New Roman" w:cs="Times New Roman"/>
          <w:sz w:val="24"/>
          <w:szCs w:val="24"/>
          <w:lang w:val="es-ES"/>
        </w:rPr>
        <w:t>relación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al mismo </w:t>
      </w:r>
      <w:r>
        <w:rPr>
          <w:rFonts w:ascii="Times New Roman" w:hAnsi="Times New Roman" w:cs="Times New Roman"/>
          <w:sz w:val="24"/>
          <w:szCs w:val="24"/>
          <w:lang w:val="es-ES"/>
        </w:rPr>
        <w:t>período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del 20</w:t>
      </w:r>
      <w:r>
        <w:rPr>
          <w:rFonts w:ascii="Times New Roman" w:hAnsi="Times New Roman" w:cs="Times New Roman"/>
          <w:sz w:val="24"/>
          <w:szCs w:val="24"/>
          <w:lang w:val="es-ES"/>
        </w:rPr>
        <w:t>20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fueron: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 Seguros, S.A.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(985.4%) y</w:t>
      </w:r>
      <w:r w:rsidRPr="006D2FA5">
        <w:rPr>
          <w:lang w:val="es-DO"/>
        </w:rPr>
        <w:t xml:space="preserve"> </w:t>
      </w:r>
      <w:r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Unit, S. 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(948.7%) y </w:t>
      </w:r>
      <w:r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Seguros Crecer, S. 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(164.5%).</w:t>
      </w:r>
    </w:p>
    <w:sectPr w:rsidR="00C332F7" w:rsidRPr="00F4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1"/>
    <w:rsid w:val="000E2B6E"/>
    <w:rsid w:val="003A7D41"/>
    <w:rsid w:val="003D49EB"/>
    <w:rsid w:val="003F1147"/>
    <w:rsid w:val="004101C8"/>
    <w:rsid w:val="004213CB"/>
    <w:rsid w:val="004A41A3"/>
    <w:rsid w:val="004F75A1"/>
    <w:rsid w:val="0050122B"/>
    <w:rsid w:val="0050327B"/>
    <w:rsid w:val="00596A01"/>
    <w:rsid w:val="00623AB7"/>
    <w:rsid w:val="006303F5"/>
    <w:rsid w:val="00904DEB"/>
    <w:rsid w:val="00AB0CF8"/>
    <w:rsid w:val="00AD08F8"/>
    <w:rsid w:val="00AE20E1"/>
    <w:rsid w:val="00AF1EFB"/>
    <w:rsid w:val="00B82DD2"/>
    <w:rsid w:val="00F14DE2"/>
    <w:rsid w:val="00F32E5C"/>
    <w:rsid w:val="00F446BC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2832"/>
  <w15:chartTrackingRefBased/>
  <w15:docId w15:val="{44F948D0-CCFE-4274-A7AA-79381BE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0E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9</cp:revision>
  <dcterms:created xsi:type="dcterms:W3CDTF">2021-03-22T15:30:00Z</dcterms:created>
  <dcterms:modified xsi:type="dcterms:W3CDTF">2021-03-23T14:16:00Z</dcterms:modified>
</cp:coreProperties>
</file>